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03A" w:rsidRDefault="0076531C" w:rsidP="0076531C">
      <w:pPr>
        <w:spacing w:after="0" w:line="240" w:lineRule="auto"/>
        <w:ind w:left="3540"/>
        <w:jc w:val="center"/>
        <w:rPr>
          <w:rFonts w:ascii="Corbel" w:hAnsi="Corbel"/>
          <w:b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762483" w:rsidRDefault="00762483" w:rsidP="00762483">
      <w:pPr>
        <w:spacing w:after="0" w:line="240" w:lineRule="auto"/>
        <w:jc w:val="center"/>
        <w:rPr>
          <w:rFonts w:ascii="Corbel" w:hAnsi="Corbel"/>
          <w:b/>
        </w:rPr>
      </w:pPr>
    </w:p>
    <w:p w:rsidR="00762483" w:rsidRPr="004D68A1" w:rsidRDefault="00762483" w:rsidP="00762483">
      <w:pPr>
        <w:spacing w:after="0" w:line="240" w:lineRule="auto"/>
        <w:jc w:val="center"/>
        <w:rPr>
          <w:rFonts w:ascii="Corbel" w:hAnsi="Corbel"/>
          <w:b/>
        </w:rPr>
      </w:pPr>
      <w:r w:rsidRPr="004D68A1">
        <w:rPr>
          <w:rFonts w:ascii="Corbel" w:hAnsi="Corbel"/>
          <w:b/>
        </w:rPr>
        <w:t>SYLABUS</w:t>
      </w:r>
    </w:p>
    <w:p w:rsidR="00762483" w:rsidRPr="004D68A1" w:rsidRDefault="00762483" w:rsidP="00762483">
      <w:pPr>
        <w:spacing w:after="0" w:line="240" w:lineRule="auto"/>
        <w:jc w:val="center"/>
        <w:rPr>
          <w:rFonts w:ascii="Corbel" w:hAnsi="Corbel"/>
          <w:b/>
        </w:rPr>
      </w:pPr>
      <w:r w:rsidRPr="004D68A1">
        <w:rPr>
          <w:rFonts w:ascii="Corbel" w:hAnsi="Corbel"/>
          <w:b/>
        </w:rPr>
        <w:t xml:space="preserve">dotyczy cyklu kształcenia </w:t>
      </w:r>
      <w:r w:rsidRPr="004D68A1">
        <w:rPr>
          <w:rFonts w:ascii="Corbel" w:hAnsi="Corbel"/>
          <w:i/>
        </w:rPr>
        <w:t>2025-2028</w:t>
      </w:r>
    </w:p>
    <w:p w:rsidR="00762483" w:rsidRPr="004D68A1" w:rsidRDefault="00762483" w:rsidP="00762483">
      <w:pPr>
        <w:spacing w:after="0" w:line="240" w:lineRule="auto"/>
        <w:jc w:val="center"/>
        <w:rPr>
          <w:rFonts w:ascii="Corbel" w:hAnsi="Corbel"/>
          <w:b/>
        </w:rPr>
      </w:pPr>
    </w:p>
    <w:p w:rsidR="00762483" w:rsidRPr="004D68A1" w:rsidRDefault="00762483" w:rsidP="0076248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4D68A1">
        <w:rPr>
          <w:rFonts w:ascii="Corbel" w:hAnsi="Corbel"/>
          <w:i/>
          <w:sz w:val="20"/>
          <w:szCs w:val="20"/>
        </w:rPr>
        <w:t>(skrajne daty</w:t>
      </w:r>
      <w:r w:rsidRPr="004D68A1">
        <w:rPr>
          <w:rFonts w:ascii="Corbel" w:hAnsi="Corbel"/>
          <w:sz w:val="20"/>
          <w:szCs w:val="20"/>
        </w:rPr>
        <w:t>)</w:t>
      </w:r>
    </w:p>
    <w:p w:rsidR="00762483" w:rsidRPr="004D68A1" w:rsidRDefault="00762483" w:rsidP="00762483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4D68A1">
        <w:rPr>
          <w:rFonts w:ascii="Corbel" w:hAnsi="Corbel"/>
          <w:sz w:val="20"/>
          <w:szCs w:val="20"/>
        </w:rPr>
        <w:t>Rok akademicki   2026/2027</w:t>
      </w:r>
    </w:p>
    <w:p w:rsidR="00A6173A" w:rsidRPr="0010303A" w:rsidRDefault="00A6173A" w:rsidP="0010303A">
      <w:pPr>
        <w:spacing w:after="0" w:line="240" w:lineRule="auto"/>
        <w:jc w:val="center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Prawne podstawy profilaktyki i resocjalizacji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762483" w:rsidP="0010303A">
            <w:pPr>
              <w:spacing w:after="0" w:line="240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</w:rPr>
              <w:t>Instytut Pedagogiki i Filozofii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Instytut Pedagogiki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Pedagogika, specjalność: pedagogika resocjalizacyjna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ogólnoakademicki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2C6BF5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nie</w:t>
            </w:r>
            <w:r w:rsidR="00A6173A" w:rsidRPr="0010303A">
              <w:rPr>
                <w:rFonts w:ascii="Corbel" w:hAnsi="Corbel"/>
              </w:rPr>
              <w:t>stacjonarna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II rok, 3 semestr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specjalnościowy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polski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Dr Ewa Markowska-Gos</w:t>
            </w:r>
            <w:r w:rsidR="001B5B8D">
              <w:rPr>
                <w:rFonts w:ascii="Corbel" w:hAnsi="Corbel"/>
              </w:rPr>
              <w:t xml:space="preserve">/ </w:t>
            </w:r>
            <w:r w:rsidR="001B5B8D">
              <w:rPr>
                <w:rFonts w:ascii="Corbel" w:hAnsi="Corbel"/>
                <w:kern w:val="0"/>
                <w:sz w:val="22"/>
                <w:szCs w:val="22"/>
              </w:rPr>
              <w:t>dr Ewa Bonusiak</w:t>
            </w:r>
          </w:p>
        </w:tc>
      </w:tr>
      <w:tr w:rsidR="00A6173A" w:rsidRPr="0010303A" w:rsidTr="00A6173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* </w:t>
      </w:r>
      <w:r w:rsidRPr="0010303A">
        <w:rPr>
          <w:rFonts w:ascii="Corbel" w:hAnsi="Corbel"/>
          <w:b/>
          <w:i/>
        </w:rPr>
        <w:t>-</w:t>
      </w:r>
      <w:r w:rsidRPr="0010303A">
        <w:rPr>
          <w:rFonts w:ascii="Corbel" w:hAnsi="Corbel"/>
          <w:i/>
        </w:rPr>
        <w:t>opcjonalni</w:t>
      </w:r>
      <w:r w:rsidRPr="0010303A">
        <w:rPr>
          <w:rFonts w:ascii="Corbel" w:hAnsi="Corbel"/>
        </w:rPr>
        <w:t>e,</w:t>
      </w:r>
      <w:r w:rsidR="004D68A1">
        <w:rPr>
          <w:rFonts w:ascii="Corbel" w:hAnsi="Corbel"/>
        </w:rPr>
        <w:t xml:space="preserve"> </w:t>
      </w:r>
      <w:r w:rsidRPr="0010303A">
        <w:rPr>
          <w:rFonts w:ascii="Corbel" w:hAnsi="Corbel"/>
          <w:i/>
        </w:rPr>
        <w:t>zgodnie z ustaleniami w Jednostce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1.1.Formy zajęć dydaktycznych, wymiar godzin i punktów ECTS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888"/>
        <w:gridCol w:w="749"/>
        <w:gridCol w:w="848"/>
        <w:gridCol w:w="774"/>
        <w:gridCol w:w="805"/>
        <w:gridCol w:w="714"/>
        <w:gridCol w:w="924"/>
        <w:gridCol w:w="1145"/>
        <w:gridCol w:w="1392"/>
      </w:tblGrid>
      <w:tr w:rsidR="00A6173A" w:rsidRPr="0010303A" w:rsidTr="00A6173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Semestr</w:t>
            </w:r>
          </w:p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  <w:b/>
              </w:rPr>
            </w:pPr>
            <w:r w:rsidRPr="0010303A">
              <w:rPr>
                <w:rFonts w:ascii="Corbel" w:hAnsi="Corbel"/>
                <w:b/>
              </w:rPr>
              <w:t>Liczba pkt. ECTS</w:t>
            </w:r>
          </w:p>
        </w:tc>
      </w:tr>
      <w:tr w:rsidR="00A6173A" w:rsidRPr="0010303A" w:rsidTr="00A6173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2C6BF5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2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  <w:b/>
        </w:rPr>
        <w:t>1.2.</w:t>
      </w:r>
      <w:r w:rsidRPr="0010303A">
        <w:rPr>
          <w:rFonts w:ascii="Corbel" w:hAnsi="Corbel"/>
          <w:b/>
        </w:rPr>
        <w:tab/>
        <w:t xml:space="preserve">Sposób realizacji zajęć 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  <w:u w:val="single"/>
        </w:rPr>
      </w:pPr>
      <w:r w:rsidRPr="0010303A">
        <w:rPr>
          <w:rFonts w:ascii="MS Gothic" w:eastAsia="MS Gothic" w:hAnsi="MS Gothic" w:cs="MS Gothic" w:hint="eastAsia"/>
          <w:b/>
          <w:u w:val="single"/>
          <w:lang w:val="en-US"/>
        </w:rPr>
        <w:t>☐</w:t>
      </w:r>
      <w:r w:rsidRPr="0010303A">
        <w:rPr>
          <w:rFonts w:ascii="Corbel" w:hAnsi="Corbel"/>
          <w:b/>
          <w:u w:val="single"/>
        </w:rPr>
        <w:t xml:space="preserve"> zajęcia w formie tradycyjnej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762483">
        <w:rPr>
          <w:rFonts w:ascii="MS Gothic" w:eastAsia="MS Gothic" w:hAnsi="MS Gothic" w:cs="MS Gothic" w:hint="eastAsia"/>
        </w:rPr>
        <w:t>☐</w:t>
      </w:r>
      <w:r w:rsidRPr="0010303A">
        <w:rPr>
          <w:rFonts w:ascii="Corbel" w:hAnsi="Corbel"/>
        </w:rPr>
        <w:t xml:space="preserve"> zajęcia realizowane z wykorzystaniem metod i technik kształcenia na odległość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1.3 </w:t>
      </w:r>
      <w:r w:rsidRPr="0010303A">
        <w:rPr>
          <w:rFonts w:ascii="Corbel" w:hAnsi="Corbel"/>
          <w:b/>
        </w:rPr>
        <w:tab/>
        <w:t xml:space="preserve">Forma zaliczenia przedmiotu  (z toku)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</w:rPr>
        <w:t>zaliczenie z oceną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A6173A" w:rsidRPr="0010303A" w:rsidTr="00A6173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Posiadanie  przez studenta podstawowej wiedzy o społeczeństwie i zjawiskach patologicznych.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>3. cele, efekty uczenia się , treści Programowe i stosowane metody Dydaktyczne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>3.1 Cele przedmiotu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7"/>
        <w:gridCol w:w="8353"/>
      </w:tblGrid>
      <w:tr w:rsidR="00A6173A" w:rsidRPr="0010303A" w:rsidTr="00A61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Posiadanie  przez studenta  podstawowej wiedzy w zakresie prawnych podstaw  profilaktyki i resocjalizacji.</w:t>
            </w:r>
          </w:p>
        </w:tc>
      </w:tr>
      <w:tr w:rsidR="00A6173A" w:rsidRPr="0010303A" w:rsidTr="00A61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Nabycie  przez studentów  umiejętności  analizy i interpretacji treści  przepisów  </w:t>
            </w:r>
            <w:r w:rsidR="00762483">
              <w:rPr>
                <w:rFonts w:ascii="Corbel" w:hAnsi="Corbel"/>
              </w:rPr>
              <w:br/>
            </w:r>
            <w:r w:rsidRPr="0010303A">
              <w:rPr>
                <w:rFonts w:ascii="Corbel" w:hAnsi="Corbel"/>
              </w:rPr>
              <w:t>z zakresu prawnych podstaw  profilaktyki i resocjalizacji.</w:t>
            </w:r>
          </w:p>
        </w:tc>
      </w:tr>
      <w:tr w:rsidR="00A6173A" w:rsidRPr="0010303A" w:rsidTr="00A6173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Nabycie  przez studenta kompetencji  do podejmowania  decyzji  i działań  adekwatnych  do litery prawa  z  perspektywy  wykonywanej profesji.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  <w:b/>
        </w:rPr>
        <w:t>3.2 Efekty uczenia się dla przedmiotu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6968"/>
        <w:gridCol w:w="1219"/>
      </w:tblGrid>
      <w:tr w:rsidR="00D16FE2" w:rsidRPr="00A34633" w:rsidTr="001831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  <w:b/>
              </w:rPr>
              <w:t>EK</w:t>
            </w:r>
            <w:r w:rsidRPr="00A34633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 xml:space="preserve">Treść efektu uczenia się zdefiniowanego dla przedmiotu </w:t>
            </w:r>
          </w:p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Student: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Odnie</w:t>
            </w:r>
            <w:r>
              <w:rPr>
                <w:rFonts w:ascii="Corbel" w:hAnsi="Corbel"/>
              </w:rPr>
              <w:t>sienie do efektów  kierunkowych</w:t>
            </w:r>
            <w:r w:rsidRPr="00A34633">
              <w:rPr>
                <w:rFonts w:ascii="Corbel" w:hAnsi="Corbel"/>
                <w:vertAlign w:val="superscript"/>
              </w:rPr>
              <w:footnoteReference w:id="2"/>
            </w:r>
          </w:p>
        </w:tc>
      </w:tr>
      <w:tr w:rsidR="00D16FE2" w:rsidRPr="00A34633" w:rsidTr="001831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</w:t>
            </w:r>
            <w:r w:rsidRPr="00A34633">
              <w:rPr>
                <w:rFonts w:ascii="Corbel" w:hAnsi="Corbel"/>
              </w:rPr>
              <w:softHyphen/>
              <w:t>_01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555342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Zdefiniuje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podstawowe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pojęcia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dotyczące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obowiązujące w polskim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systemie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prawa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oraz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przypisze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poszczególne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jej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obszary do konkretnych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dziedzin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nauk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K_W01</w:t>
            </w:r>
          </w:p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16FE2" w:rsidRPr="00A34633" w:rsidTr="0018315A">
        <w:trPr>
          <w:trHeight w:val="9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EK_02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555342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Przedstawi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istotę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zagadnień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dotyczących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 w odniesieniu do innych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dyscyplin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naukowych.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K_W02</w:t>
            </w:r>
          </w:p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16FE2" w:rsidRPr="00A34633" w:rsidTr="001831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EK_03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555342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555342">
              <w:rPr>
                <w:rFonts w:ascii="Corbel" w:hAnsi="Corbel"/>
              </w:rPr>
              <w:t>Scharakteryzuje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zadania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cele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poszczególnych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instytucji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funkcjonujących w obszarze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profilaktyki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resocjalizacji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biorąc pod uwagę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zbiory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pojęć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teorii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tworzących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podstawy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prawne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tych</w:t>
            </w:r>
            <w:r>
              <w:rPr>
                <w:rFonts w:ascii="Corbel" w:hAnsi="Corbel"/>
              </w:rPr>
              <w:t xml:space="preserve"> </w:t>
            </w:r>
            <w:r w:rsidRPr="00555342">
              <w:rPr>
                <w:rFonts w:ascii="Corbel" w:hAnsi="Corbel"/>
              </w:rPr>
              <w:t>działalności.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K_W03</w:t>
            </w:r>
          </w:p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16FE2" w:rsidRPr="00A34633" w:rsidTr="001831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EK_04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B0351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B03513">
              <w:rPr>
                <w:rFonts w:ascii="Corbel" w:hAnsi="Corbel"/>
              </w:rPr>
              <w:t>Dokona analizy i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oceni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różne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zjawiska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społeczne z perspektywy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obowiązujących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aktualnie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przepisów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prawnych.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K_U01</w:t>
            </w:r>
          </w:p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  <w:tr w:rsidR="00D16FE2" w:rsidRPr="00A34633" w:rsidTr="0018315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A3463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EK_05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FE2" w:rsidRPr="00B03513" w:rsidRDefault="00D16FE2" w:rsidP="0018315A">
            <w:pPr>
              <w:spacing w:after="0" w:line="240" w:lineRule="auto"/>
              <w:rPr>
                <w:rFonts w:ascii="Corbel" w:hAnsi="Corbel"/>
              </w:rPr>
            </w:pPr>
            <w:r w:rsidRPr="00B03513">
              <w:rPr>
                <w:rFonts w:ascii="Corbel" w:hAnsi="Corbel"/>
              </w:rPr>
              <w:t>Dokona analizy aspektów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prawnych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etycznych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podejmowanych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działań w obszarze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wykonywanej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profesji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własnej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</w:t>
            </w:r>
            <w:r>
              <w:rPr>
                <w:rFonts w:ascii="Corbel" w:hAnsi="Corbel"/>
              </w:rPr>
              <w:t xml:space="preserve"> </w:t>
            </w:r>
            <w:r w:rsidRPr="00B03513">
              <w:rPr>
                <w:rFonts w:ascii="Corbel" w:hAnsi="Corbel"/>
              </w:rPr>
              <w:t>innych.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K_K04</w:t>
            </w:r>
          </w:p>
          <w:p w:rsidR="00D16FE2" w:rsidRPr="00A34633" w:rsidRDefault="00D16FE2" w:rsidP="004D68A1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3.3 Treści programowe </w:t>
      </w:r>
    </w:p>
    <w:p w:rsidR="00A6173A" w:rsidRPr="0010303A" w:rsidRDefault="00A6173A" w:rsidP="0010303A">
      <w:pPr>
        <w:numPr>
          <w:ilvl w:val="0"/>
          <w:numId w:val="1"/>
        </w:num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</w:rPr>
        <w:t xml:space="preserve">Problematyka wykładu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A6173A" w:rsidRPr="0010303A" w:rsidTr="00A6173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Treści merytoryczne</w:t>
            </w:r>
          </w:p>
        </w:tc>
      </w:tr>
      <w:tr w:rsidR="00A6173A" w:rsidRPr="0010303A" w:rsidTr="00A6173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Nie dotyczy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numPr>
          <w:ilvl w:val="0"/>
          <w:numId w:val="1"/>
        </w:num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44"/>
      </w:tblGrid>
      <w:tr w:rsidR="00E85D27" w:rsidRPr="00A34633" w:rsidTr="00E85D27">
        <w:trPr>
          <w:trHeight w:val="154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A34633" w:rsidRDefault="00E85D27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Treści merytoryczne</w:t>
            </w:r>
          </w:p>
        </w:tc>
      </w:tr>
      <w:tr w:rsidR="00E85D27" w:rsidRPr="00A34633" w:rsidTr="00E85D27">
        <w:trPr>
          <w:trHeight w:val="154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Default="00E85D27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1.Zagadnienia wprowadzające :</w:t>
            </w:r>
          </w:p>
          <w:p w:rsidR="00E85D27" w:rsidRPr="00A34633" w:rsidRDefault="00E85D27" w:rsidP="0018315A">
            <w:pPr>
              <w:spacing w:after="0" w:line="240" w:lineRule="auto"/>
              <w:rPr>
                <w:rFonts w:ascii="Corbel" w:hAnsi="Corbel"/>
              </w:rPr>
            </w:pPr>
          </w:p>
          <w:p w:rsidR="00E85D27" w:rsidRPr="00FA24D6" w:rsidRDefault="00E85D27" w:rsidP="00E85D27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FA24D6">
              <w:rPr>
                <w:rFonts w:ascii="Corbel" w:hAnsi="Corbel"/>
              </w:rPr>
              <w:t xml:space="preserve">Jednostka  funkcjonująca w społeczeństwie, a prawo: -warunki prestiżu prawa </w:t>
            </w:r>
            <w:r>
              <w:rPr>
                <w:rFonts w:ascii="Corbel" w:hAnsi="Corbel"/>
              </w:rPr>
              <w:br/>
            </w:r>
            <w:r w:rsidRPr="00FA24D6">
              <w:rPr>
                <w:rFonts w:ascii="Corbel" w:hAnsi="Corbel"/>
              </w:rPr>
              <w:t>w społeczeństwie; -dysfunkcjonalność prawa i jej  przejawy, jako  jeden z istotnych  czynników zachowań dewiacyjnych i kryminogennych;- założenia na gruncie  doktryny, a rzeczywistość  (teorie: deprywacji ,:niespójności czynników statusu, a prawo -G. Lenskyego ; - anomii (E. Durkheim, G.Sorel  ,R. K. Merton).</w:t>
            </w:r>
          </w:p>
          <w:p w:rsidR="00E85D27" w:rsidRPr="00FA24D6" w:rsidRDefault="00E85D27" w:rsidP="00E85D27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Prawo karne – pojęcie prawa karnego  i jego specyfika , funkcje, źródła.</w:t>
            </w:r>
          </w:p>
          <w:p w:rsidR="00E85D27" w:rsidRPr="00A34633" w:rsidRDefault="00E85D27" w:rsidP="0018315A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E85D27" w:rsidRPr="00A34633" w:rsidTr="00E85D27">
        <w:trPr>
          <w:trHeight w:val="154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E85D27" w:rsidRDefault="000E0CF1" w:rsidP="00E85D2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2. Przestępstwo</w:t>
            </w:r>
            <w:r w:rsidR="00E85D27" w:rsidRPr="00E85D27">
              <w:rPr>
                <w:rFonts w:ascii="Corbel" w:hAnsi="Corbel"/>
              </w:rPr>
              <w:t xml:space="preserve"> i jego sprawca :</w:t>
            </w:r>
          </w:p>
          <w:p w:rsidR="00E85D27" w:rsidRPr="00E85D27" w:rsidRDefault="00E85D27" w:rsidP="00E85D27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definicja, ustawowe znamiona (przedmiot, podmiot, podmiotowa strona  przestępstwa, przedmiotowa strona przestępstwa),</w:t>
            </w:r>
            <w:r w:rsidR="000E0CF1">
              <w:rPr>
                <w:rFonts w:ascii="Corbel" w:hAnsi="Corbel"/>
              </w:rPr>
              <w:t xml:space="preserve"> </w:t>
            </w:r>
            <w:r w:rsidRPr="00E85D27">
              <w:rPr>
                <w:rFonts w:ascii="Corbel" w:hAnsi="Corbel"/>
              </w:rPr>
              <w:t>związek przyczynowy;</w:t>
            </w:r>
          </w:p>
          <w:p w:rsidR="00E85D27" w:rsidRPr="00E85D27" w:rsidRDefault="00E85D27" w:rsidP="00E85D27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kategorie przestępstw (zbrodnia, występek)</w:t>
            </w:r>
          </w:p>
          <w:p w:rsidR="00E85D27" w:rsidRPr="00E85D27" w:rsidRDefault="00E85D27" w:rsidP="00E85D27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formy popełnienia przestępstwa i odpowiedzialność karna;</w:t>
            </w:r>
          </w:p>
          <w:p w:rsidR="00E85D27" w:rsidRPr="00E85D27" w:rsidRDefault="00E85D27" w:rsidP="00E85D27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wiek sprawcy, niepoczytalność/poczytalność ograniczona, a odpowiedzialność karna .</w:t>
            </w:r>
          </w:p>
        </w:tc>
      </w:tr>
      <w:tr w:rsidR="00E85D27" w:rsidRPr="00A34633" w:rsidTr="00E85D27">
        <w:trPr>
          <w:trHeight w:val="154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A34633" w:rsidRDefault="00E85D27" w:rsidP="00E85D2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Pr="00A34633">
              <w:rPr>
                <w:rFonts w:ascii="Corbel" w:hAnsi="Corbel"/>
              </w:rPr>
              <w:t>. Kara kryminalna –</w:t>
            </w:r>
            <w:r>
              <w:rPr>
                <w:rFonts w:ascii="Corbel" w:hAnsi="Corbel"/>
              </w:rPr>
              <w:t xml:space="preserve"> </w:t>
            </w:r>
            <w:r w:rsidRPr="00A34633">
              <w:rPr>
                <w:rFonts w:ascii="Corbel" w:hAnsi="Corbel"/>
              </w:rPr>
              <w:t>zagadnienia  podstawowe   :</w:t>
            </w:r>
          </w:p>
          <w:p w:rsidR="00E85D27" w:rsidRPr="00165F34" w:rsidRDefault="00E85D27" w:rsidP="00E85D27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>pojęcie  kary  i jej racjonalizacja  na gruncie doktryny prawa karnego oraz kodeksu karnego;</w:t>
            </w:r>
          </w:p>
          <w:p w:rsidR="00E85D27" w:rsidRPr="00165F34" w:rsidRDefault="00E85D27" w:rsidP="00E85D27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zróżnicowanie kar  w polskim  kodeksie  karnym i ich istota </w:t>
            </w:r>
            <w:r>
              <w:rPr>
                <w:rFonts w:ascii="Corbel" w:hAnsi="Corbel"/>
              </w:rPr>
              <w:t xml:space="preserve"> (grzywna; ograniczenie wolności</w:t>
            </w:r>
            <w:r w:rsidRPr="00165F34">
              <w:rPr>
                <w:rFonts w:ascii="Corbel" w:hAnsi="Corbel"/>
              </w:rPr>
              <w:t>;  pozbawienia wolności);</w:t>
            </w:r>
          </w:p>
          <w:p w:rsidR="00E85D27" w:rsidRPr="00165F34" w:rsidRDefault="00E85D27" w:rsidP="00E85D27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>środki karne i ich zróżnicowanie przewidziane  w polskim kodeksie karnym;</w:t>
            </w:r>
          </w:p>
          <w:p w:rsidR="00E85D27" w:rsidRPr="00165F34" w:rsidRDefault="00E85D27" w:rsidP="00E85D27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paradygmaty sądowego wymiaru kary; </w:t>
            </w:r>
          </w:p>
          <w:p w:rsidR="00E85D27" w:rsidRPr="00165F34" w:rsidRDefault="00E85D27" w:rsidP="00E85D27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hAnsi="Corbel"/>
              </w:rPr>
            </w:pPr>
            <w:r w:rsidRPr="00165F34">
              <w:rPr>
                <w:rFonts w:ascii="Corbel" w:hAnsi="Corbel"/>
              </w:rPr>
              <w:t xml:space="preserve">kara śmierci, jako jeden z  instrumentów  polityki zapobiegania  przestępczości </w:t>
            </w:r>
            <w:r>
              <w:rPr>
                <w:rFonts w:ascii="Corbel" w:hAnsi="Corbel"/>
              </w:rPr>
              <w:br/>
            </w:r>
            <w:r w:rsidRPr="00165F34">
              <w:rPr>
                <w:rFonts w:ascii="Corbel" w:hAnsi="Corbel"/>
              </w:rPr>
              <w:t>w niektórych państwach , jej elimi</w:t>
            </w:r>
            <w:r>
              <w:rPr>
                <w:rFonts w:ascii="Corbel" w:hAnsi="Corbel"/>
              </w:rPr>
              <w:t>nacja w polskim kodeksie karnym</w:t>
            </w:r>
            <w:r w:rsidRPr="00165F34">
              <w:rPr>
                <w:rFonts w:ascii="Corbel" w:hAnsi="Corbel"/>
              </w:rPr>
              <w:t xml:space="preserve"> - kontrowersje z perspektywy „prawa</w:t>
            </w:r>
            <w:r>
              <w:rPr>
                <w:rFonts w:ascii="Corbel" w:hAnsi="Corbel"/>
              </w:rPr>
              <w:t xml:space="preserve"> intuicyjnego” </w:t>
            </w:r>
            <w:r w:rsidRPr="00165F34">
              <w:rPr>
                <w:rFonts w:ascii="Corbel" w:hAnsi="Corbel"/>
              </w:rPr>
              <w:t>przedstawicieli  niektórych kręgów społecznych .</w:t>
            </w:r>
          </w:p>
        </w:tc>
      </w:tr>
      <w:tr w:rsidR="00E85D27" w:rsidRPr="00A34633" w:rsidTr="00E85D27">
        <w:trPr>
          <w:trHeight w:val="154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A34633" w:rsidRDefault="00E85D27" w:rsidP="00E85D27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Pr="00A34633">
              <w:rPr>
                <w:rFonts w:ascii="Corbel" w:hAnsi="Corbel"/>
              </w:rPr>
              <w:t>. Kara pozbawienia wolności -</w:t>
            </w:r>
            <w:r>
              <w:rPr>
                <w:rFonts w:ascii="Corbel" w:hAnsi="Corbel"/>
              </w:rPr>
              <w:t xml:space="preserve"> </w:t>
            </w:r>
            <w:r w:rsidRPr="00A34633">
              <w:rPr>
                <w:rFonts w:ascii="Corbel" w:hAnsi="Corbel"/>
              </w:rPr>
              <w:t>zarys problematyki :</w:t>
            </w:r>
          </w:p>
          <w:p w:rsidR="00E85D27" w:rsidRPr="00BA4C9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>zakład karny, jako  instytucja totalna w rozumieniu E. Goffmana  i zjawisko prizonizacji;</w:t>
            </w:r>
          </w:p>
          <w:p w:rsidR="00E85D27" w:rsidRPr="00BA4C9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 xml:space="preserve">kara długoterminowego pozbawienia </w:t>
            </w:r>
            <w:r>
              <w:rPr>
                <w:rFonts w:ascii="Corbel" w:hAnsi="Corbel"/>
              </w:rPr>
              <w:t>wolności i jej kontrowersyjność</w:t>
            </w:r>
            <w:r w:rsidRPr="00BA4C91">
              <w:rPr>
                <w:rFonts w:ascii="Corbel" w:hAnsi="Corbel"/>
              </w:rPr>
              <w:t xml:space="preserve">; </w:t>
            </w:r>
          </w:p>
          <w:p w:rsidR="00E85D27" w:rsidRPr="00BA4C9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idea  wolnej progresji </w:t>
            </w:r>
            <w:r w:rsidRPr="00BA4C91">
              <w:rPr>
                <w:rFonts w:ascii="Corbel" w:hAnsi="Corbel"/>
              </w:rPr>
              <w:t>;</w:t>
            </w:r>
          </w:p>
          <w:p w:rsidR="00E85D27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BA4C91">
              <w:rPr>
                <w:rFonts w:ascii="Corbel" w:hAnsi="Corbel"/>
              </w:rPr>
              <w:t>wykonanie kary pozbawienia wolności  ( kodeks  karny wykonawczy ): - klasyfikacja osadzonych i jej kryteria,-</w:t>
            </w:r>
            <w:r>
              <w:rPr>
                <w:rFonts w:ascii="Corbel" w:hAnsi="Corbel"/>
              </w:rPr>
              <w:t xml:space="preserve"> rodzaje zakładów  karnych</w:t>
            </w:r>
            <w:r w:rsidRPr="00BA4C91">
              <w:rPr>
                <w:rFonts w:ascii="Corbel" w:hAnsi="Corbel"/>
              </w:rPr>
              <w:t>, w kontekście osoby osadzonego; -typy zakładów  karnych z perspektywy  izolacji skazanego od społeczeństwa  i wymogów  porządku w  jednostce penitencjarnej z uwagi na bezpieczeństwo ;- systemy odbywania  kary;- nagrody i kary dyscyplinarne;- o</w:t>
            </w:r>
            <w:r>
              <w:rPr>
                <w:rFonts w:ascii="Corbel" w:hAnsi="Corbel"/>
              </w:rPr>
              <w:t>bowiązki skazanego i jego prawa</w:t>
            </w:r>
            <w:r w:rsidRPr="00BA4C91">
              <w:rPr>
                <w:rFonts w:ascii="Corbel" w:hAnsi="Corbel"/>
              </w:rPr>
              <w:t>;</w:t>
            </w:r>
          </w:p>
          <w:p w:rsidR="00E85D27" w:rsidRPr="006C421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lastRenderedPageBreak/>
              <w:t>zakład  karny jako jedna z instytucji totalnych w rozumieniu E.</w:t>
            </w:r>
            <w:r w:rsidR="00FB4030">
              <w:rPr>
                <w:rFonts w:ascii="Corbel" w:hAnsi="Corbel"/>
              </w:rPr>
              <w:t xml:space="preserve"> </w:t>
            </w:r>
            <w:r w:rsidRPr="00E85D27">
              <w:rPr>
                <w:rFonts w:ascii="Corbel" w:hAnsi="Corbel"/>
              </w:rPr>
              <w:t>Goffmana, zróżnicowanie postaw adaptacyjnych jednostki z perspektywy izolacji penitencjarnej,</w:t>
            </w:r>
          </w:p>
          <w:p w:rsidR="00E85D27" w:rsidRPr="006C421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E85D27">
              <w:rPr>
                <w:rFonts w:ascii="Corbel" w:hAnsi="Corbel"/>
              </w:rPr>
              <w:t>prizonizacja, a powrót skazanego do społeczeństwa,</w:t>
            </w:r>
          </w:p>
          <w:p w:rsidR="00E85D27" w:rsidRPr="006C4211" w:rsidRDefault="00E85D27" w:rsidP="00E85D27">
            <w:pPr>
              <w:pStyle w:val="Akapitzlist"/>
              <w:numPr>
                <w:ilvl w:val="0"/>
                <w:numId w:val="6"/>
              </w:numPr>
              <w:spacing w:after="0" w:line="276" w:lineRule="auto"/>
              <w:rPr>
                <w:rFonts w:ascii="Corbel" w:hAnsi="Corbel"/>
              </w:rPr>
            </w:pPr>
            <w:r w:rsidRPr="006C4211">
              <w:rPr>
                <w:rFonts w:ascii="Corbel" w:hAnsi="Corbel"/>
              </w:rPr>
              <w:t>monitoring  elektroniczny – specyfika , pozytywne i negatywne aspekty.</w:t>
            </w:r>
          </w:p>
          <w:p w:rsidR="00E85D27" w:rsidRPr="00A34633" w:rsidRDefault="00E85D27" w:rsidP="00E85D27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E85D27" w:rsidRPr="00A34633" w:rsidTr="00E85D27">
        <w:trPr>
          <w:trHeight w:val="1866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A34633" w:rsidRDefault="00E85D27" w:rsidP="00E85D27">
            <w:pPr>
              <w:spacing w:after="0" w:line="276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lastRenderedPageBreak/>
              <w:t xml:space="preserve">6.Zagrożenie nieprzystosowaniem społecznym ,  nieprzystosowanie społeczne  </w:t>
            </w:r>
            <w:r>
              <w:rPr>
                <w:rFonts w:ascii="Corbel" w:hAnsi="Corbel"/>
              </w:rPr>
              <w:br/>
            </w:r>
            <w:r w:rsidRPr="00A34633">
              <w:rPr>
                <w:rFonts w:ascii="Corbel" w:hAnsi="Corbel"/>
              </w:rPr>
              <w:t xml:space="preserve">i demoralizacji nieletnich, a regulacje  prawne (analiza przepisów ustawy o  wspieraniu </w:t>
            </w:r>
            <w:r>
              <w:rPr>
                <w:rFonts w:ascii="Corbel" w:hAnsi="Corbel"/>
              </w:rPr>
              <w:br/>
            </w:r>
            <w:r w:rsidRPr="00A34633">
              <w:rPr>
                <w:rFonts w:ascii="Corbel" w:hAnsi="Corbel"/>
              </w:rPr>
              <w:t>i resocjalizacji nieletnich ).</w:t>
            </w:r>
          </w:p>
          <w:p w:rsidR="00E85D27" w:rsidRPr="00A34633" w:rsidRDefault="00E85D27" w:rsidP="00E85D27">
            <w:pPr>
              <w:spacing w:after="0" w:line="276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Przestępczość  nieletnich i jej etiologia  z perspektywy makro, mezo i mikro- strukturalnej (społeczeństwo globalne, środowisko lokalne , rodzina ).</w:t>
            </w:r>
          </w:p>
          <w:p w:rsidR="00E85D27" w:rsidRPr="00A34633" w:rsidRDefault="00E85D27" w:rsidP="00E85D27">
            <w:pPr>
              <w:spacing w:after="0" w:line="276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Kurator sądowy- status prawny</w:t>
            </w:r>
            <w:r w:rsidRPr="00A34633">
              <w:rPr>
                <w:rFonts w:ascii="Corbel" w:hAnsi="Corbel"/>
              </w:rPr>
              <w:t>,</w:t>
            </w:r>
            <w:r>
              <w:rPr>
                <w:rFonts w:ascii="Corbel" w:hAnsi="Corbel"/>
              </w:rPr>
              <w:t xml:space="preserve"> </w:t>
            </w:r>
            <w:r w:rsidRPr="00A34633">
              <w:rPr>
                <w:rFonts w:ascii="Corbel" w:hAnsi="Corbel"/>
              </w:rPr>
              <w:t>kompetencje.</w:t>
            </w:r>
          </w:p>
        </w:tc>
      </w:tr>
      <w:tr w:rsidR="00E85D27" w:rsidRPr="00A34633" w:rsidTr="00E85D27">
        <w:trPr>
          <w:trHeight w:val="2236"/>
        </w:trPr>
        <w:tc>
          <w:tcPr>
            <w:tcW w:w="9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D27" w:rsidRPr="00A34633" w:rsidRDefault="00E85D27" w:rsidP="0018315A">
            <w:pPr>
              <w:spacing w:after="0" w:line="240" w:lineRule="auto"/>
              <w:rPr>
                <w:rFonts w:ascii="Corbel" w:hAnsi="Corbel"/>
              </w:rPr>
            </w:pPr>
            <w:r w:rsidRPr="00A34633">
              <w:rPr>
                <w:rFonts w:ascii="Corbel" w:hAnsi="Corbel"/>
              </w:rPr>
              <w:t>7.Zjawiska patologiczne ,a prawo:</w:t>
            </w:r>
          </w:p>
          <w:p w:rsidR="00E85D27" w:rsidRPr="0022592D" w:rsidRDefault="00E85D27" w:rsidP="00E85D2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narkomania,</w:t>
            </w:r>
          </w:p>
          <w:p w:rsidR="00E85D27" w:rsidRPr="0022592D" w:rsidRDefault="00E85D27" w:rsidP="00E85D2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alkoholizm ,</w:t>
            </w:r>
          </w:p>
          <w:p w:rsidR="00E85D27" w:rsidRPr="0022592D" w:rsidRDefault="00E85D27" w:rsidP="00E85D2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>prostytucja;</w:t>
            </w:r>
          </w:p>
          <w:p w:rsidR="00E85D27" w:rsidRPr="0022592D" w:rsidRDefault="00E85D27" w:rsidP="00E85D2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</w:rPr>
            </w:pPr>
            <w:r w:rsidRPr="0022592D">
              <w:rPr>
                <w:rFonts w:ascii="Corbel" w:hAnsi="Corbel"/>
              </w:rPr>
              <w:t xml:space="preserve">przemoc  </w:t>
            </w:r>
            <w:r w:rsidRPr="00E85D27">
              <w:rPr>
                <w:rFonts w:ascii="Corbel" w:hAnsi="Corbel"/>
              </w:rPr>
              <w:t>[jako: -naruszenie dóbr osobistych jednostki i odpowiedzialność deliktowa (kodeks  cywilny )</w:t>
            </w:r>
            <w:r w:rsidRPr="0022592D">
              <w:rPr>
                <w:rFonts w:ascii="Corbel" w:hAnsi="Corbel"/>
              </w:rPr>
              <w:t xml:space="preserve"> i przestępstwo ( kodeks  karny - przeciwko: życiu </w:t>
            </w:r>
            <w:r>
              <w:rPr>
                <w:rFonts w:ascii="Corbel" w:hAnsi="Corbel"/>
              </w:rPr>
              <w:br/>
            </w:r>
            <w:r w:rsidRPr="0022592D">
              <w:rPr>
                <w:rFonts w:ascii="Corbel" w:hAnsi="Corbel"/>
              </w:rPr>
              <w:t>i zdrowiu , wolności seksualnej  i obyczajności ,</w:t>
            </w:r>
            <w:r>
              <w:rPr>
                <w:rFonts w:ascii="Corbel" w:hAnsi="Corbel"/>
              </w:rPr>
              <w:t xml:space="preserve"> wolności , rodzinie i opiece )</w:t>
            </w:r>
            <w:r w:rsidRPr="0022592D">
              <w:rPr>
                <w:rFonts w:ascii="Corbel" w:hAnsi="Corbel"/>
              </w:rPr>
              <w:t>].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  <w:b/>
        </w:rPr>
        <w:t>3.4 Metody dydaktyczne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</w:rPr>
        <w:t>Ćwiczenia:   analiza  treści  aktów prawnych ,formułowanie i interpretacja   kazusów , praca grupowa, dyskusja.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4. METODY I KRYTERIA OCENY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>4.1 Sposoby weryfikacji efektów uczenia się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7"/>
        <w:gridCol w:w="5193"/>
        <w:gridCol w:w="2090"/>
      </w:tblGrid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Metody oceny efektów uczenia się</w:t>
            </w:r>
          </w:p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Forma zajęć dydaktycznych </w:t>
            </w:r>
          </w:p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(w, ćw, …)</w:t>
            </w:r>
          </w:p>
        </w:tc>
      </w:tr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 Kolokwium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ćw</w:t>
            </w:r>
          </w:p>
        </w:tc>
      </w:tr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Kolokwium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ćw</w:t>
            </w:r>
          </w:p>
        </w:tc>
      </w:tr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ćw</w:t>
            </w:r>
          </w:p>
        </w:tc>
      </w:tr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Formułowanie i analiza kazusów , udział w dyskusji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ćw</w:t>
            </w:r>
          </w:p>
        </w:tc>
      </w:tr>
      <w:tr w:rsidR="00A6173A" w:rsidRPr="0010303A" w:rsidTr="00A617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Ek_05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 Formułowanie i analiza kazusów ,udział w dyskusji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ćw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4.2 Warunki zaliczenia przedmiotu (kryteria oceniania)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A6173A" w:rsidRPr="0010303A" w:rsidTr="00A6173A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3A" w:rsidRDefault="0010303A" w:rsidP="0010303A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>kolokwium (minimum 51 % punktów),</w:t>
            </w:r>
          </w:p>
          <w:p w:rsidR="00A6173A" w:rsidRPr="0010303A" w:rsidRDefault="0010303A" w:rsidP="0010303A">
            <w:pPr>
              <w:pStyle w:val="Akapitzlist"/>
              <w:numPr>
                <w:ilvl w:val="0"/>
                <w:numId w:val="2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aktywny udział</w:t>
            </w: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studenta w zajęciach (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 trakcie formułowania i analizy kazusów</w:t>
            </w:r>
            <w:r w:rsidRPr="009120EC">
              <w:rPr>
                <w:rFonts w:ascii="Calibri" w:eastAsia="Times New Roman" w:hAnsi="Calibri" w:cs="Calibri"/>
                <w:color w:val="000000"/>
                <w:lang w:eastAsia="pl-PL"/>
              </w:rPr>
              <w:t>, w trakcie dyskusji)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  <w:b/>
              </w:rPr>
            </w:pPr>
            <w:r w:rsidRPr="0010303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  <w:b/>
              </w:rPr>
            </w:pPr>
            <w:r w:rsidRPr="0010303A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8</w:t>
            </w:r>
          </w:p>
        </w:tc>
      </w:tr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Inne z udziałem nauczyciela akademickiego:</w:t>
            </w:r>
          </w:p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3</w:t>
            </w:r>
          </w:p>
        </w:tc>
      </w:tr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Godziny niekontaktowe – praca własna studenta</w:t>
            </w:r>
          </w:p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- przygotowanie do zajęć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bookmarkStart w:id="0" w:name="_GoBack"/>
            <w:bookmarkEnd w:id="0"/>
          </w:p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39</w:t>
            </w:r>
          </w:p>
        </w:tc>
      </w:tr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50</w:t>
            </w:r>
          </w:p>
        </w:tc>
      </w:tr>
      <w:tr w:rsidR="00A6173A" w:rsidRPr="0010303A" w:rsidTr="00A6173A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  <w:b/>
              </w:rPr>
            </w:pPr>
            <w:r w:rsidRPr="001030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2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  <w:i/>
        </w:rPr>
      </w:pPr>
      <w:r w:rsidRPr="0010303A">
        <w:rPr>
          <w:rFonts w:ascii="Corbel" w:hAnsi="Corbel"/>
          <w:i/>
        </w:rPr>
        <w:t>* Należy uwzględnić, że 1 pkt ECTS odpowiada 25-30 godzin całkowitego nakładu pracy studenta.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>6. PRAKTYKI ZAWODOWE W RAMACH PRZEDMIOTU</w:t>
      </w: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103"/>
      </w:tblGrid>
      <w:tr w:rsidR="00A6173A" w:rsidRPr="0010303A" w:rsidTr="000E0CF1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wymiar godzinowy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Nie dotyczy</w:t>
            </w:r>
          </w:p>
        </w:tc>
      </w:tr>
      <w:tr w:rsidR="00A6173A" w:rsidRPr="0010303A" w:rsidTr="000E0CF1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 xml:space="preserve">zasady i formy odbywania praktyk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73A" w:rsidRPr="0010303A" w:rsidRDefault="00A6173A" w:rsidP="0010303A">
            <w:pPr>
              <w:spacing w:after="0" w:line="240" w:lineRule="auto"/>
              <w:rPr>
                <w:rFonts w:ascii="Corbel" w:hAnsi="Corbel"/>
              </w:rPr>
            </w:pPr>
            <w:r w:rsidRPr="0010303A">
              <w:rPr>
                <w:rFonts w:ascii="Corbel" w:hAnsi="Corbel"/>
              </w:rPr>
              <w:t>Nie dotyczy</w:t>
            </w:r>
          </w:p>
        </w:tc>
      </w:tr>
    </w:tbl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  <w:b/>
        </w:rPr>
      </w:pPr>
      <w:r w:rsidRPr="0010303A">
        <w:rPr>
          <w:rFonts w:ascii="Corbel" w:hAnsi="Corbel"/>
          <w:b/>
        </w:rPr>
        <w:t xml:space="preserve">7. LITERATURA </w:t>
      </w:r>
    </w:p>
    <w:p w:rsidR="00A6173A" w:rsidRDefault="00A6173A" w:rsidP="0010303A">
      <w:pPr>
        <w:spacing w:after="0" w:line="240" w:lineRule="auto"/>
        <w:rPr>
          <w:rFonts w:ascii="Corbel" w:hAnsi="Corbe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D07CE1" w:rsidRPr="00A34633" w:rsidTr="006C75A1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CE1" w:rsidRPr="00BE466E" w:rsidRDefault="00D07CE1" w:rsidP="0018315A">
            <w:pPr>
              <w:rPr>
                <w:rFonts w:ascii="Corbel" w:hAnsi="Corbel"/>
              </w:rPr>
            </w:pPr>
            <w:r w:rsidRPr="00BE466E">
              <w:rPr>
                <w:rFonts w:ascii="Corbel" w:hAnsi="Corbel"/>
              </w:rPr>
              <w:t>Literatura podstawowa: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  <w:bCs/>
              </w:rPr>
            </w:pPr>
            <w:r w:rsidRPr="004D68A1">
              <w:rPr>
                <w:rFonts w:ascii="Corbel" w:hAnsi="Corbel"/>
                <w:bCs/>
              </w:rPr>
              <w:t>Gardocki L. Prawo karne , Wydawnictwo C.</w:t>
            </w:r>
            <w:r w:rsidR="00A313A5">
              <w:rPr>
                <w:rFonts w:ascii="Corbel" w:hAnsi="Corbel"/>
                <w:bCs/>
              </w:rPr>
              <w:t xml:space="preserve"> </w:t>
            </w:r>
            <w:r w:rsidRPr="004D68A1">
              <w:rPr>
                <w:rFonts w:ascii="Corbel" w:hAnsi="Corbel"/>
                <w:bCs/>
              </w:rPr>
              <w:t>CH.</w:t>
            </w:r>
            <w:r w:rsidR="00A313A5">
              <w:rPr>
                <w:rFonts w:ascii="Corbel" w:hAnsi="Corbel"/>
                <w:bCs/>
              </w:rPr>
              <w:t xml:space="preserve"> </w:t>
            </w:r>
            <w:r w:rsidRPr="004D68A1">
              <w:rPr>
                <w:rFonts w:ascii="Corbel" w:hAnsi="Corbel"/>
                <w:bCs/>
              </w:rPr>
              <w:t>Beck, Warszawa 2023;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</w:rPr>
              <w:t>Hołda J .Migdal J., Żórawska J., Prawo karne wykonawcze, Wydawnictwo Wolters Kluwer, Warszawa 2021;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</w:rPr>
              <w:t xml:space="preserve"> Kędzierski W., </w:t>
            </w:r>
            <w:r w:rsidRPr="004D68A1">
              <w:rPr>
                <w:rFonts w:ascii="Corbel" w:hAnsi="Corbel"/>
                <w:i/>
              </w:rPr>
              <w:t xml:space="preserve">Penitencjarystyka  z resocjalizacją  instytucjonalną ,  </w:t>
            </w:r>
            <w:r w:rsidRPr="004D68A1">
              <w:rPr>
                <w:rFonts w:ascii="Corbel" w:hAnsi="Corbel"/>
              </w:rPr>
              <w:t>Wydawnictwo Difin , Warszawa  2022 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  <w:bCs/>
              </w:rPr>
              <w:t xml:space="preserve">Prawo karne materialne. Część ogólna (red. Mozgawa </w:t>
            </w:r>
            <w:r>
              <w:rPr>
                <w:rFonts w:ascii="Corbel" w:hAnsi="Corbel"/>
                <w:bCs/>
              </w:rPr>
              <w:t>M.), Wydawnictwo Wolters Klurer</w:t>
            </w:r>
            <w:r w:rsidRPr="004D68A1">
              <w:rPr>
                <w:rFonts w:ascii="Corbel" w:hAnsi="Corbel"/>
                <w:bCs/>
              </w:rPr>
              <w:t>,</w:t>
            </w:r>
            <w:r>
              <w:rPr>
                <w:rFonts w:ascii="Corbel" w:hAnsi="Corbel"/>
                <w:bCs/>
              </w:rPr>
              <w:t xml:space="preserve"> </w:t>
            </w:r>
            <w:r w:rsidRPr="004D68A1">
              <w:rPr>
                <w:rFonts w:ascii="Corbel" w:hAnsi="Corbel"/>
                <w:bCs/>
              </w:rPr>
              <w:t>Warszawa 2024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  <w:i/>
              </w:rPr>
              <w:t>Ustawa  z  dnia 26 października 1982 roku o wychowaniu  w trzeźwości i przeciwdziałaniu alkoholizmowi</w:t>
            </w:r>
            <w:r w:rsidRPr="004D68A1">
              <w:rPr>
                <w:rFonts w:ascii="Corbel" w:hAnsi="Corbel"/>
              </w:rPr>
              <w:t xml:space="preserve">  (tekst  ujednolicony –     Dz. U.  2023 r. ,poz. 2151</w:t>
            </w:r>
            <w:r w:rsidRPr="004D68A1">
              <w:rPr>
                <w:rFonts w:ascii="Corbel" w:hAnsi="Corbel"/>
                <w:bCs/>
              </w:rPr>
              <w:t xml:space="preserve">z późn. zm. </w:t>
            </w:r>
            <w:r w:rsidRPr="004D68A1">
              <w:rPr>
                <w:rFonts w:ascii="Corbel" w:hAnsi="Corbel"/>
              </w:rPr>
              <w:t>);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  <w:i/>
              </w:rPr>
              <w:t>Ustawa z dnia  13 maja 2016 r.  o przeciwdziałaniu zagrożeniom przestępczością seksualną</w:t>
            </w:r>
            <w:r>
              <w:rPr>
                <w:rFonts w:ascii="Corbel" w:hAnsi="Corbel"/>
              </w:rPr>
              <w:t xml:space="preserve"> (</w:t>
            </w:r>
            <w:r w:rsidRPr="004D68A1">
              <w:rPr>
                <w:rFonts w:ascii="Corbel" w:hAnsi="Corbel"/>
              </w:rPr>
              <w:t>tekst ujednolicony -Dz. U 2024 r.,</w:t>
            </w:r>
            <w:r w:rsidRPr="004D68A1">
              <w:rPr>
                <w:rFonts w:ascii="Corbel" w:hAnsi="Corbel"/>
                <w:bCs/>
              </w:rPr>
              <w:t xml:space="preserve">1802 z późn. zm. </w:t>
            </w:r>
            <w:r w:rsidRPr="004D68A1">
              <w:rPr>
                <w:rFonts w:ascii="Corbel" w:hAnsi="Corbel"/>
              </w:rPr>
              <w:t>);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  <w:i/>
              </w:rPr>
            </w:pPr>
            <w:r w:rsidRPr="004D68A1">
              <w:rPr>
                <w:rFonts w:ascii="Corbel" w:hAnsi="Corbel"/>
                <w:i/>
              </w:rPr>
              <w:t xml:space="preserve">Ustawa z dnia  29  lipca 2005 o przeciwdziałaniu przemocy domowej  </w:t>
            </w:r>
            <w:r w:rsidRPr="004D68A1">
              <w:rPr>
                <w:rFonts w:ascii="Corbel" w:hAnsi="Corbel"/>
              </w:rPr>
              <w:t xml:space="preserve">(tekst ujednolicony -Dz. U. 2024 r. </w:t>
            </w:r>
            <w:r w:rsidR="00A313A5">
              <w:rPr>
                <w:rFonts w:ascii="Corbel" w:hAnsi="Corbel"/>
                <w:bCs/>
              </w:rPr>
              <w:t>poz. 1673 z późn. zm.)</w:t>
            </w:r>
            <w:r w:rsidRPr="004D68A1">
              <w:rPr>
                <w:rFonts w:ascii="Corbel" w:hAnsi="Corbel"/>
              </w:rPr>
              <w:t>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  <w:i/>
              </w:rPr>
            </w:pPr>
            <w:r w:rsidRPr="004D68A1">
              <w:rPr>
                <w:rFonts w:ascii="Corbel" w:hAnsi="Corbel"/>
              </w:rPr>
              <w:lastRenderedPageBreak/>
              <w:t>U</w:t>
            </w:r>
            <w:r w:rsidRPr="004D68A1">
              <w:rPr>
                <w:rFonts w:ascii="Corbel" w:hAnsi="Corbel"/>
                <w:i/>
              </w:rPr>
              <w:t>stawa z dnia  29 lipca 2005 roku o przeciwdziałaniu narkomanii</w:t>
            </w:r>
            <w:r w:rsidRPr="004D68A1">
              <w:rPr>
                <w:rFonts w:ascii="Corbel" w:hAnsi="Corbel"/>
              </w:rPr>
              <w:t xml:space="preserve">  (tekst ujednolicony -</w:t>
            </w:r>
            <w:r w:rsidR="00A313A5">
              <w:rPr>
                <w:rFonts w:ascii="Corbel" w:hAnsi="Corbel"/>
              </w:rPr>
              <w:t xml:space="preserve"> </w:t>
            </w:r>
            <w:r w:rsidRPr="004D68A1">
              <w:rPr>
                <w:rFonts w:ascii="Corbel" w:hAnsi="Corbel"/>
              </w:rPr>
              <w:t>Dz. U. 2023 r. , poz.1939);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</w:rPr>
              <w:t xml:space="preserve">Ustawa z dnia  6 czerwca 1997 roku  kodeks  karny wykonawczy  (tekst ujednolicony - </w:t>
            </w:r>
            <w:r w:rsidRPr="004D68A1">
              <w:rPr>
                <w:rFonts w:ascii="Corbel" w:hAnsi="Corbel"/>
                <w:bCs/>
              </w:rPr>
              <w:t>Dz.U. 2024, poz.706,1907 z późn. zm.</w:t>
            </w:r>
            <w:r w:rsidRPr="004D68A1">
              <w:rPr>
                <w:rFonts w:ascii="Corbel" w:hAnsi="Corbel"/>
              </w:rPr>
              <w:t>);</w:t>
            </w:r>
          </w:p>
          <w:p w:rsidR="004D68A1" w:rsidRPr="004D68A1" w:rsidRDefault="004D68A1" w:rsidP="004D68A1">
            <w:pPr>
              <w:spacing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</w:rPr>
              <w:t xml:space="preserve">Ustawa z dnia  6 czerwca 1997 roku kodeks  karny ( tekst ujednolicony - </w:t>
            </w:r>
            <w:r w:rsidRPr="004D68A1">
              <w:rPr>
                <w:rFonts w:ascii="Corbel" w:hAnsi="Corbel"/>
                <w:bCs/>
              </w:rPr>
              <w:t>Dz.U 2025 r. , poz.383  z późn. zm.</w:t>
            </w:r>
            <w:r w:rsidRPr="004D68A1">
              <w:rPr>
                <w:rFonts w:ascii="Corbel" w:hAnsi="Corbel"/>
              </w:rPr>
              <w:t>);</w:t>
            </w:r>
          </w:p>
          <w:p w:rsidR="00D07CE1" w:rsidRPr="004D68A1" w:rsidRDefault="004D68A1" w:rsidP="004D68A1">
            <w:pPr>
              <w:spacing w:after="0" w:line="276" w:lineRule="auto"/>
              <w:rPr>
                <w:rFonts w:ascii="Corbel" w:hAnsi="Corbel"/>
              </w:rPr>
            </w:pPr>
            <w:r w:rsidRPr="004D68A1">
              <w:rPr>
                <w:rFonts w:ascii="Corbel" w:hAnsi="Corbel"/>
                <w:i/>
              </w:rPr>
              <w:t>Ustawa z dnia 9 czerwca 2022 roku  o wspieraniu  i resocjalizacji nieletnich    (</w:t>
            </w:r>
            <w:r w:rsidRPr="004D68A1">
              <w:rPr>
                <w:rFonts w:ascii="Corbel" w:hAnsi="Corbel"/>
              </w:rPr>
              <w:t>tekst ujednolicony- (</w:t>
            </w:r>
            <w:r w:rsidRPr="004D68A1">
              <w:rPr>
                <w:rFonts w:ascii="Corbel" w:hAnsi="Corbel"/>
                <w:bCs/>
              </w:rPr>
              <w:t>Dz.U. 2024 r., poz. 978</w:t>
            </w:r>
            <w:r w:rsidRPr="004D68A1">
              <w:rPr>
                <w:rFonts w:ascii="Corbel" w:hAnsi="Corbel"/>
              </w:rPr>
              <w:t>)</w:t>
            </w:r>
          </w:p>
        </w:tc>
      </w:tr>
      <w:tr w:rsidR="00D07CE1" w:rsidRPr="00A34633" w:rsidTr="006C75A1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E1" w:rsidRPr="00D07CE1" w:rsidRDefault="00D07CE1" w:rsidP="0018315A">
            <w:pPr>
              <w:rPr>
                <w:rFonts w:ascii="Corbel" w:hAnsi="Corbel"/>
              </w:rPr>
            </w:pPr>
            <w:r w:rsidRPr="00D07CE1">
              <w:rPr>
                <w:rFonts w:ascii="Corbel" w:hAnsi="Corbel"/>
              </w:rPr>
              <w:lastRenderedPageBreak/>
              <w:t xml:space="preserve">Literatura uzupełniająca: 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 xml:space="preserve">Goffman E. </w:t>
            </w:r>
            <w:r w:rsidRPr="00A313A5">
              <w:rPr>
                <w:rFonts w:ascii="Corbel" w:hAnsi="Corbel"/>
                <w:i/>
              </w:rPr>
              <w:t>Charakterystyka  instytucji totalnych</w:t>
            </w:r>
            <w:r w:rsidRPr="00A313A5">
              <w:rPr>
                <w:rFonts w:ascii="Corbel" w:hAnsi="Corbel"/>
              </w:rPr>
              <w:t xml:space="preserve"> ( tłum. Zwoliński Z.), w: Derczyński W., Jaińska- Kania A., Szacki J., </w:t>
            </w:r>
            <w:r w:rsidRPr="00A313A5">
              <w:rPr>
                <w:rFonts w:ascii="Corbel" w:hAnsi="Corbel"/>
                <w:i/>
              </w:rPr>
              <w:t>Elementy teorii socjologicznych</w:t>
            </w:r>
            <w:r w:rsidRPr="00A313A5">
              <w:rPr>
                <w:rFonts w:ascii="Corbel" w:hAnsi="Corbel"/>
              </w:rPr>
              <w:t>, Wydawnictwo PWN ,Warszawa 195, s.:</w:t>
            </w:r>
            <w:r>
              <w:rPr>
                <w:rFonts w:ascii="Corbel" w:hAnsi="Corbel"/>
              </w:rPr>
              <w:t xml:space="preserve"> </w:t>
            </w:r>
            <w:r w:rsidRPr="00A313A5">
              <w:rPr>
                <w:rFonts w:ascii="Corbel" w:hAnsi="Corbel"/>
              </w:rPr>
              <w:t>150 -177.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 xml:space="preserve">Lachowski J. , </w:t>
            </w:r>
            <w:r w:rsidRPr="00A313A5">
              <w:rPr>
                <w:rFonts w:ascii="Corbel" w:hAnsi="Corbel"/>
                <w:i/>
              </w:rPr>
              <w:t xml:space="preserve"> Kodeks  karny wykonawczy .Komentarz ,</w:t>
            </w:r>
            <w:r w:rsidRPr="00A313A5">
              <w:rPr>
                <w:rFonts w:ascii="Corbel" w:hAnsi="Corbel"/>
              </w:rPr>
              <w:t xml:space="preserve"> C. H. BECK, Warszawa 2023;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 xml:space="preserve">Merton R. K., </w:t>
            </w:r>
            <w:r w:rsidRPr="00A313A5">
              <w:rPr>
                <w:rFonts w:ascii="Corbel" w:hAnsi="Corbel"/>
                <w:i/>
              </w:rPr>
              <w:t>Teoria socjologiczna  i struktura społeczna</w:t>
            </w:r>
            <w:r w:rsidRPr="00A313A5">
              <w:rPr>
                <w:rFonts w:ascii="Corbel" w:hAnsi="Corbel"/>
              </w:rPr>
              <w:t xml:space="preserve"> (tłum. Morawska E, Wertenstein- Żuławski  Szacki J ) ,Wydawnictwo PWN  Warszawa 2002;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  <w:i/>
              </w:rPr>
              <w:t>Prawo karne materialne,</w:t>
            </w:r>
            <w:r w:rsidRPr="00A313A5">
              <w:rPr>
                <w:rFonts w:ascii="Corbel" w:hAnsi="Corbel"/>
              </w:rPr>
              <w:t xml:space="preserve"> (red. Mozgawa  M.), Wydawnictwo Wolters Kluwer, Warszawa 2024;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 xml:space="preserve">Siemaszko A., </w:t>
            </w:r>
            <w:r w:rsidRPr="00A313A5">
              <w:rPr>
                <w:rFonts w:ascii="Corbel" w:hAnsi="Corbel"/>
                <w:i/>
              </w:rPr>
              <w:t>Granice  tolerancji. O teoriach zachowań  dewiacyjnych</w:t>
            </w:r>
            <w:r w:rsidRPr="00A313A5">
              <w:rPr>
                <w:rFonts w:ascii="Corbel" w:hAnsi="Corbel"/>
              </w:rPr>
              <w:t>, Wydawnictwo PWN , Warszawa 1993 ;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 xml:space="preserve">Ustawa kodeks cywilny z dnia 23 kwietnia 1963 roku (Dz.U.2024 , poz.1061,1237 , z </w:t>
            </w:r>
            <w:r w:rsidRPr="00A313A5">
              <w:rPr>
                <w:rFonts w:ascii="Corbel" w:hAnsi="Corbel"/>
                <w:bCs/>
              </w:rPr>
              <w:t>późn. zm</w:t>
            </w:r>
            <w:r w:rsidRPr="00A313A5">
              <w:rPr>
                <w:rFonts w:ascii="Corbel" w:hAnsi="Corbel"/>
              </w:rPr>
              <w:t>.);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>Ustawa o kuratorach sądowych z 27 lipca 2001  (tekst ujednolicony Dz.U. 2023,poz. 1095</w:t>
            </w:r>
            <w:r w:rsidRPr="00A313A5">
              <w:rPr>
                <w:rFonts w:ascii="Corbel" w:hAnsi="Corbel"/>
                <w:bCs/>
              </w:rPr>
              <w:t xml:space="preserve"> </w:t>
            </w:r>
            <w:r>
              <w:rPr>
                <w:rFonts w:ascii="Corbel" w:hAnsi="Corbel"/>
                <w:bCs/>
              </w:rPr>
              <w:br/>
            </w:r>
            <w:r w:rsidRPr="00A313A5">
              <w:rPr>
                <w:rFonts w:ascii="Corbel" w:hAnsi="Corbel"/>
                <w:bCs/>
              </w:rPr>
              <w:t>z późn. zm.</w:t>
            </w:r>
            <w:r w:rsidRPr="00A313A5">
              <w:rPr>
                <w:rFonts w:ascii="Corbel" w:hAnsi="Corbel"/>
              </w:rPr>
              <w:t>).</w:t>
            </w:r>
          </w:p>
          <w:p w:rsidR="00A313A5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 xml:space="preserve">Ustawa o przeciwdziałaniu zagrożeniom przestępczością na tle seksualny i ochronie małoletnich (Dz.U.2024 r., poz.560 </w:t>
            </w:r>
            <w:r w:rsidRPr="00A313A5">
              <w:rPr>
                <w:rFonts w:ascii="Corbel" w:hAnsi="Corbel"/>
                <w:bCs/>
              </w:rPr>
              <w:t>z późn. zm</w:t>
            </w:r>
            <w:r w:rsidRPr="00A313A5">
              <w:rPr>
                <w:rFonts w:ascii="Corbel" w:hAnsi="Corbel"/>
              </w:rPr>
              <w:t>.);</w:t>
            </w:r>
          </w:p>
          <w:p w:rsidR="00D07CE1" w:rsidRPr="00A313A5" w:rsidRDefault="00A313A5" w:rsidP="00A313A5">
            <w:pPr>
              <w:spacing w:line="276" w:lineRule="auto"/>
              <w:jc w:val="both"/>
              <w:rPr>
                <w:rFonts w:ascii="Corbel" w:hAnsi="Corbel"/>
              </w:rPr>
            </w:pPr>
            <w:r w:rsidRPr="00A313A5">
              <w:rPr>
                <w:rFonts w:ascii="Corbel" w:hAnsi="Corbel"/>
              </w:rPr>
              <w:t>Ustawa o wspieraniu i resocjalizac</w:t>
            </w:r>
            <w:r>
              <w:rPr>
                <w:rFonts w:ascii="Corbel" w:hAnsi="Corbel"/>
              </w:rPr>
              <w:t>ji nieletnich. Komentarz, (red.: Drembkowski P.</w:t>
            </w:r>
            <w:r w:rsidRPr="00A313A5">
              <w:rPr>
                <w:rFonts w:ascii="Corbel" w:hAnsi="Corbel"/>
              </w:rPr>
              <w:t>, Kowalski G.) Wydawnictwo C. H. Beck, Warszawa 2023;</w:t>
            </w:r>
          </w:p>
        </w:tc>
      </w:tr>
    </w:tbl>
    <w:p w:rsidR="00D07CE1" w:rsidRPr="0010303A" w:rsidRDefault="00D07CE1" w:rsidP="0010303A">
      <w:pPr>
        <w:spacing w:after="0" w:line="240" w:lineRule="auto"/>
        <w:rPr>
          <w:rFonts w:ascii="Corbel" w:hAnsi="Corbel"/>
          <w:b/>
        </w:rPr>
      </w:pPr>
    </w:p>
    <w:p w:rsidR="00A6173A" w:rsidRPr="0010303A" w:rsidRDefault="00A6173A" w:rsidP="0010303A">
      <w:pPr>
        <w:spacing w:after="0" w:line="240" w:lineRule="auto"/>
        <w:rPr>
          <w:rFonts w:ascii="Corbel" w:hAnsi="Corbel"/>
        </w:rPr>
      </w:pPr>
      <w:r w:rsidRPr="0010303A">
        <w:rPr>
          <w:rFonts w:ascii="Corbel" w:hAnsi="Corbel"/>
        </w:rPr>
        <w:t>Akceptacja Kierownika Jednostki lub osoby upoważnionej</w:t>
      </w:r>
    </w:p>
    <w:p w:rsidR="00045E17" w:rsidRPr="0010303A" w:rsidRDefault="00045E17" w:rsidP="0010303A">
      <w:pPr>
        <w:spacing w:after="0" w:line="240" w:lineRule="auto"/>
        <w:rPr>
          <w:rFonts w:ascii="Corbel" w:hAnsi="Corbel"/>
        </w:rPr>
      </w:pPr>
    </w:p>
    <w:sectPr w:rsidR="00045E17" w:rsidRPr="0010303A" w:rsidSect="00CA7A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A25" w:rsidRDefault="00CC5A25" w:rsidP="00A6173A">
      <w:pPr>
        <w:spacing w:after="0" w:line="240" w:lineRule="auto"/>
      </w:pPr>
      <w:r>
        <w:separator/>
      </w:r>
    </w:p>
  </w:endnote>
  <w:endnote w:type="continuationSeparator" w:id="1">
    <w:p w:rsidR="00CC5A25" w:rsidRDefault="00CC5A25" w:rsidP="00A6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A25" w:rsidRDefault="00CC5A25" w:rsidP="00A6173A">
      <w:pPr>
        <w:spacing w:after="0" w:line="240" w:lineRule="auto"/>
      </w:pPr>
      <w:r>
        <w:separator/>
      </w:r>
    </w:p>
  </w:footnote>
  <w:footnote w:type="continuationSeparator" w:id="1">
    <w:p w:rsidR="00CC5A25" w:rsidRDefault="00CC5A25" w:rsidP="00A6173A">
      <w:pPr>
        <w:spacing w:after="0" w:line="240" w:lineRule="auto"/>
      </w:pPr>
      <w:r>
        <w:continuationSeparator/>
      </w:r>
    </w:p>
  </w:footnote>
  <w:footnote w:id="2">
    <w:p w:rsidR="00D16FE2" w:rsidRDefault="00D16FE2" w:rsidP="00D16FE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96A2D"/>
    <w:multiLevelType w:val="hybridMultilevel"/>
    <w:tmpl w:val="1D42B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013A5"/>
    <w:multiLevelType w:val="hybridMultilevel"/>
    <w:tmpl w:val="B04258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8C32C7"/>
    <w:multiLevelType w:val="hybridMultilevel"/>
    <w:tmpl w:val="8DD0F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0D2269"/>
    <w:multiLevelType w:val="hybridMultilevel"/>
    <w:tmpl w:val="92A8CE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B93419"/>
    <w:multiLevelType w:val="hybridMultilevel"/>
    <w:tmpl w:val="CBB2FE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B05446"/>
    <w:multiLevelType w:val="hybridMultilevel"/>
    <w:tmpl w:val="703E9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649A2"/>
    <w:multiLevelType w:val="hybridMultilevel"/>
    <w:tmpl w:val="2618D7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E0E3D74"/>
    <w:multiLevelType w:val="hybridMultilevel"/>
    <w:tmpl w:val="83141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E17"/>
    <w:rsid w:val="00045E17"/>
    <w:rsid w:val="000E0CF1"/>
    <w:rsid w:val="0010303A"/>
    <w:rsid w:val="00193731"/>
    <w:rsid w:val="001B5B8D"/>
    <w:rsid w:val="001C400A"/>
    <w:rsid w:val="001C49DD"/>
    <w:rsid w:val="001F10E3"/>
    <w:rsid w:val="002C6BF5"/>
    <w:rsid w:val="004D68A1"/>
    <w:rsid w:val="00511EEF"/>
    <w:rsid w:val="006C75A1"/>
    <w:rsid w:val="00762483"/>
    <w:rsid w:val="0076531C"/>
    <w:rsid w:val="007922BC"/>
    <w:rsid w:val="00996232"/>
    <w:rsid w:val="00997071"/>
    <w:rsid w:val="00A313A5"/>
    <w:rsid w:val="00A6173A"/>
    <w:rsid w:val="00A7768D"/>
    <w:rsid w:val="00A778B1"/>
    <w:rsid w:val="00B409AC"/>
    <w:rsid w:val="00CA7AD1"/>
    <w:rsid w:val="00CC5A25"/>
    <w:rsid w:val="00CD74DF"/>
    <w:rsid w:val="00D07CE1"/>
    <w:rsid w:val="00D16FE2"/>
    <w:rsid w:val="00DB3AB1"/>
    <w:rsid w:val="00E85D27"/>
    <w:rsid w:val="00FB4030"/>
    <w:rsid w:val="00FC1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7AD1"/>
  </w:style>
  <w:style w:type="paragraph" w:styleId="Nagwek1">
    <w:name w:val="heading 1"/>
    <w:basedOn w:val="Normalny"/>
    <w:next w:val="Normalny"/>
    <w:link w:val="Nagwek1Znak"/>
    <w:uiPriority w:val="9"/>
    <w:qFormat/>
    <w:rsid w:val="00045E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5E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5E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5E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5E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5E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5E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5E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5E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5E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5E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5E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5E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5E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5E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5E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5E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5E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5E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5E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5E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5E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5E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5E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5E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5E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5E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5E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5E1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17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173A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6173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5E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5E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5E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5E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5E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5E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5E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5E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5E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5E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5E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5E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5E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5E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5E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5E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5E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5E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5E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5E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5E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5E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5E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5E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5E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5E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5E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5E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5E1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17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173A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6173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1423</Words>
  <Characters>8542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Maria Łukaszek</cp:lastModifiedBy>
  <cp:revision>9</cp:revision>
  <dcterms:created xsi:type="dcterms:W3CDTF">2024-09-15T19:47:00Z</dcterms:created>
  <dcterms:modified xsi:type="dcterms:W3CDTF">2025-10-04T18:10:00Z</dcterms:modified>
</cp:coreProperties>
</file>